
<file path=[Content_Types].xml><?xml version="1.0" encoding="utf-8"?>
<Types xmlns="http://schemas.openxmlformats.org/package/2006/content-types">
  <Default Extension="bin" ContentType="application/vnd.openxmlformats-officedocument.oleObject"/>
  <Default Extension="bmp" ContentType="image/bmp"/>
  <Default Extension="jpg" ContentType="image/jpeg"/>
  <Default Extension="jpeg" ContentType="image/jpeg"/>
  <Default Extension="jpe" ContentType="image/jpeg"/>
  <Default Extension="png" ContentType="image/png"/>
  <Default Extension="gif" ContentType="image/gif"/>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55"/>
      </w:pPr>
      <w:r>
        <w:t xml:space="preserve">ДИЛЕРСКИЙ </w:t>
      </w:r>
      <w:r>
        <w:t xml:space="preserve">(ЛИЦЕНЗИОННЫЙ) </w:t>
      </w:r>
      <w:r>
        <w:t xml:space="preserve">ДОГОВОР  № </w:t>
      </w:r>
      <w:r>
        <w:t xml:space="preserve">__</w:t>
      </w:r>
      <w:r/>
    </w:p>
    <w:p>
      <w:pPr>
        <w:pStyle w:val="156"/>
        <w:spacing w:after="0" w:before="0"/>
      </w:pPr>
      <w:r/>
      <w:r/>
    </w:p>
    <w:p>
      <w:r>
        <w:t xml:space="preserve">г. Новосибирск</w:t>
        <w:tab/>
        <w:tab/>
        <w:tab/>
        <w:tab/>
        <w:tab/>
        <w:tab/>
        <w:tab/>
        <w:tab/>
        <w:tab/>
        <w:t xml:space="preserve">“ </w:t>
      </w:r>
      <w:r>
        <w:t xml:space="preserve"> </w:t>
      </w:r>
      <w:r>
        <w:t xml:space="preserve"> ”  </w:t>
      </w:r>
      <w:r>
        <w:t xml:space="preserve">___________</w:t>
      </w:r>
      <w:r>
        <w:t xml:space="preserve"> 20</w:t>
      </w:r>
      <w:r>
        <w:t xml:space="preserve">1</w:t>
      </w:r>
      <w:r>
        <w:t xml:space="preserve">7</w:t>
      </w:r>
      <w:r>
        <w:t xml:space="preserve"> г.</w:t>
      </w:r>
      <w:r/>
    </w:p>
    <w:p>
      <w:r/>
      <w:r/>
    </w:p>
    <w:p>
      <w:pPr>
        <w:rPr>
          <w:rFonts w:ascii="Times New Roman" w:hAnsi="Times New Roman"/>
          <w:sz w:val="22"/>
          <w:szCs w:val="22"/>
        </w:rPr>
      </w:pPr>
      <w:r>
        <w:rPr>
          <w:rFonts w:ascii="Times New Roman" w:hAnsi="Times New Roman"/>
          <w:sz w:val="22"/>
          <w:szCs w:val="22"/>
        </w:rPr>
        <w:t xml:space="preserve">ИП Сунгатулин Равиль Тагирович, именуемый в дальнейшем “Производитель”, действующий на основании Свидетельства </w:t>
      </w:r>
      <w:r>
        <w:rPr>
          <w:rFonts w:ascii="Times New Roman" w:hAnsi="Times New Roman"/>
          <w:sz w:val="22"/>
          <w:szCs w:val="22"/>
        </w:rPr>
        <w:t xml:space="preserve">54 001151850</w:t>
      </w:r>
      <w:r>
        <w:rPr>
          <w:rFonts w:ascii="Times New Roman" w:hAnsi="Times New Roman"/>
          <w:sz w:val="22"/>
          <w:szCs w:val="22"/>
        </w:rPr>
        <w:t xml:space="preserve">, выданного 06.07.2004 г. ИМРФНС по Ленинскому району г. Новосибирска, с одной стороны, и </w:t>
      </w:r>
      <w:r>
        <w:rPr>
          <w:rFonts w:ascii="Times New Roman" w:hAnsi="Times New Roman"/>
          <w:sz w:val="22"/>
          <w:szCs w:val="22"/>
        </w:rPr>
        <w:t xml:space="preserve">_______________________________</w:t>
      </w:r>
      <w:r>
        <w:rPr>
          <w:rFonts w:ascii="Times New Roman" w:hAnsi="Times New Roman"/>
          <w:sz w:val="22"/>
          <w:szCs w:val="22"/>
        </w:rPr>
        <w:t xml:space="preserve">_________________</w:t>
      </w:r>
      <w:r>
        <w:rPr>
          <w:rFonts w:ascii="Times New Roman" w:hAnsi="Times New Roman"/>
          <w:sz w:val="22"/>
          <w:szCs w:val="22"/>
        </w:rPr>
        <w:t xml:space="preserve">____</w:t>
      </w:r>
      <w:r>
        <w:rPr>
          <w:rFonts w:ascii="Times New Roman" w:hAnsi="Times New Roman"/>
          <w:sz w:val="22"/>
          <w:szCs w:val="22"/>
        </w:rPr>
        <w:t xml:space="preserve">, именуемое в дальнейшем “Дилер”, в лице </w:t>
      </w:r>
      <w:r>
        <w:rPr>
          <w:rFonts w:ascii="Times New Roman" w:hAnsi="Times New Roman"/>
          <w:sz w:val="22"/>
          <w:szCs w:val="22"/>
        </w:rPr>
        <w:t xml:space="preserve">_______________________________________________</w:t>
      </w:r>
      <w:r>
        <w:rPr>
          <w:rFonts w:ascii="Times New Roman" w:hAnsi="Times New Roman"/>
          <w:sz w:val="22"/>
          <w:szCs w:val="22"/>
        </w:rPr>
        <w:t xml:space="preserve">, действующего на основании </w:t>
      </w:r>
      <w:r>
        <w:rPr>
          <w:rFonts w:ascii="Times New Roman" w:hAnsi="Times New Roman"/>
          <w:sz w:val="22"/>
          <w:szCs w:val="22"/>
        </w:rPr>
        <w:t xml:space="preserve">_________</w:t>
      </w:r>
      <w:r>
        <w:rPr>
          <w:rFonts w:ascii="Times New Roman" w:hAnsi="Times New Roman"/>
          <w:sz w:val="22"/>
          <w:szCs w:val="22"/>
        </w:rPr>
        <w:t xml:space="preserve"> </w:t>
      </w:r>
      <w:r>
        <w:rPr>
          <w:rFonts w:ascii="Times New Roman" w:hAnsi="Times New Roman"/>
          <w:sz w:val="22"/>
          <w:szCs w:val="22"/>
        </w:rPr>
        <w:t xml:space="preserve">с другой стороны, заключили соглашение о нижеследующем:</w:t>
      </w:r>
      <w:r/>
    </w:p>
    <w:p>
      <w:pPr>
        <w:rPr>
          <w:rFonts w:ascii="Times New Roman" w:hAnsi="Times New Roman"/>
          <w:sz w:val="22"/>
          <w:szCs w:val="22"/>
        </w:rPr>
      </w:pPr>
      <w:r>
        <w:rPr>
          <w:rFonts w:ascii="Times New Roman" w:hAnsi="Times New Roman"/>
          <w:sz w:val="22"/>
          <w:szCs w:val="22"/>
        </w:rPr>
      </w:r>
      <w:r/>
    </w:p>
    <w:p>
      <w:pPr>
        <w:pStyle w:val="131"/>
      </w:pPr>
      <w:r>
        <w:t xml:space="preserve">1. Предмет договора</w:t>
      </w:r>
      <w:r/>
    </w:p>
    <w:p>
      <w:pPr>
        <w:rPr>
          <w:rFonts w:ascii="Times New Roman" w:hAnsi="Times New Roman"/>
          <w:sz w:val="22"/>
          <w:szCs w:val="22"/>
        </w:rPr>
      </w:pPr>
      <w:r>
        <w:rPr>
          <w:rFonts w:ascii="Times New Roman" w:hAnsi="Times New Roman"/>
          <w:sz w:val="22"/>
          <w:szCs w:val="22"/>
        </w:rPr>
        <w:t xml:space="preserve">1.1. Производитель предоставляет Дилеру неисключительные права на распространение программных продуктов (далее ПП).</w:t>
      </w:r>
      <w:r/>
    </w:p>
    <w:p>
      <w:pPr>
        <w:rPr>
          <w:rFonts w:ascii="Times New Roman" w:hAnsi="Times New Roman"/>
          <w:sz w:val="22"/>
          <w:szCs w:val="22"/>
        </w:rPr>
      </w:pPr>
      <w:r>
        <w:rPr>
          <w:rFonts w:ascii="Times New Roman" w:hAnsi="Times New Roman"/>
          <w:sz w:val="22"/>
          <w:szCs w:val="22"/>
        </w:rPr>
      </w:r>
      <w:r/>
    </w:p>
    <w:p>
      <w:pPr>
        <w:pStyle w:val="131"/>
      </w:pPr>
      <w:r>
        <w:t xml:space="preserve">2. Условия заключения соглашения</w:t>
      </w:r>
      <w:r/>
    </w:p>
    <w:p>
      <w:pPr>
        <w:rPr>
          <w:rFonts w:ascii="Times New Roman" w:hAnsi="Times New Roman"/>
          <w:sz w:val="22"/>
          <w:szCs w:val="22"/>
        </w:rPr>
      </w:pPr>
      <w:r>
        <w:rPr>
          <w:rFonts w:ascii="Times New Roman" w:hAnsi="Times New Roman"/>
          <w:sz w:val="22"/>
          <w:szCs w:val="22"/>
        </w:rPr>
        <w:t xml:space="preserve">2.1. Необходимым условием заключения настоящего дилерского Договора является приобретение в собственность за плату не менее 1 (одного) комплекта ПП.</w:t>
      </w:r>
      <w:r/>
    </w:p>
    <w:p>
      <w:pPr>
        <w:rPr>
          <w:rFonts w:ascii="Times New Roman" w:hAnsi="Times New Roman"/>
          <w:sz w:val="22"/>
          <w:szCs w:val="22"/>
        </w:rPr>
      </w:pPr>
      <w:r>
        <w:rPr>
          <w:rFonts w:ascii="Times New Roman" w:hAnsi="Times New Roman"/>
          <w:sz w:val="22"/>
          <w:szCs w:val="22"/>
        </w:rPr>
      </w:r>
      <w:r/>
    </w:p>
    <w:p>
      <w:pPr>
        <w:pStyle w:val="131"/>
      </w:pPr>
      <w:r>
        <w:t xml:space="preserve">3. Поставка ПП и порядок расчетов</w:t>
      </w:r>
      <w:r/>
    </w:p>
    <w:p>
      <w:pPr>
        <w:rPr>
          <w:rFonts w:ascii="Times New Roman" w:hAnsi="Times New Roman"/>
          <w:sz w:val="22"/>
          <w:szCs w:val="22"/>
        </w:rPr>
      </w:pPr>
      <w:r>
        <w:rPr>
          <w:rFonts w:ascii="Times New Roman" w:hAnsi="Times New Roman"/>
          <w:sz w:val="22"/>
          <w:szCs w:val="22"/>
        </w:rPr>
        <w:t xml:space="preserve">3.1. Производитель передает, а Дилер принимает ПП в собственность за плату.</w:t>
      </w:r>
      <w:r/>
    </w:p>
    <w:p>
      <w:pPr>
        <w:rPr>
          <w:rFonts w:ascii="Times New Roman" w:hAnsi="Times New Roman"/>
          <w:sz w:val="22"/>
          <w:szCs w:val="22"/>
        </w:rPr>
      </w:pPr>
      <w:r>
        <w:rPr>
          <w:rFonts w:ascii="Times New Roman" w:hAnsi="Times New Roman"/>
          <w:sz w:val="22"/>
          <w:szCs w:val="22"/>
        </w:rPr>
        <w:t xml:space="preserve">3.2. Оплата производится по безналичному расчету в рублях. Сумма оплаты рассчитывается согласно колонке цен дилерского прайс-листа Производителя ПП. Дилерский прайс-лист является неотъемлемой частью настоящего договора (Приложение 1).</w:t>
      </w:r>
      <w:r/>
    </w:p>
    <w:p>
      <w:pPr>
        <w:rPr>
          <w:rFonts w:ascii="Times New Roman" w:hAnsi="Times New Roman"/>
          <w:sz w:val="22"/>
          <w:szCs w:val="22"/>
        </w:rPr>
      </w:pPr>
      <w:r>
        <w:rPr>
          <w:rFonts w:ascii="Times New Roman" w:hAnsi="Times New Roman"/>
          <w:sz w:val="22"/>
          <w:szCs w:val="22"/>
        </w:rPr>
        <w:t xml:space="preserve">3.3. Поставка программных продуктов Дилеру производится на условиях полной предоплаты, если иное не оговорено дополнительным соглашением сторон. При условии оплаты расходов по доставке, возможна доставка программных продуктов по указанному Дилером адресу. Датой поставки считается дата накладной или, в случае почтовой доставки </w:t>
        <w:noBreakHyphen/>
        <w:t xml:space="preserve"> дата почтовой квитанции.</w:t>
      </w:r>
      <w:r/>
    </w:p>
    <w:p>
      <w:pPr>
        <w:rPr>
          <w:rFonts w:ascii="Times New Roman" w:hAnsi="Times New Roman"/>
          <w:sz w:val="22"/>
          <w:szCs w:val="22"/>
        </w:rPr>
      </w:pPr>
      <w:r>
        <w:rPr>
          <w:rFonts w:ascii="Times New Roman" w:hAnsi="Times New Roman"/>
          <w:sz w:val="22"/>
          <w:szCs w:val="22"/>
        </w:rPr>
        <w:t xml:space="preserve">3.4. Поставка каждой отдельной партии ПП осуществляется по согласованной номенклатуре, количеству и стоимости, определенной в соответствии с п.3.2 настоящего Договора.</w:t>
      </w:r>
      <w:r/>
    </w:p>
    <w:p>
      <w:pPr>
        <w:rPr>
          <w:rFonts w:ascii="Times New Roman" w:hAnsi="Times New Roman"/>
          <w:sz w:val="22"/>
          <w:szCs w:val="22"/>
        </w:rPr>
      </w:pPr>
      <w:r>
        <w:rPr>
          <w:rFonts w:ascii="Times New Roman" w:hAnsi="Times New Roman"/>
          <w:sz w:val="22"/>
          <w:szCs w:val="22"/>
        </w:rPr>
        <w:t xml:space="preserve">3.5. В цену программного продукта входит стоимость лицензии на использование </w:t>
      </w:r>
      <w:r>
        <w:rPr>
          <w:rFonts w:ascii="Times New Roman" w:hAnsi="Times New Roman"/>
          <w:sz w:val="22"/>
          <w:szCs w:val="22"/>
        </w:rPr>
        <w:t xml:space="preserve">приобретенной версии программы</w:t>
      </w:r>
      <w:r>
        <w:rPr>
          <w:rFonts w:ascii="Times New Roman" w:hAnsi="Times New Roman"/>
          <w:sz w:val="22"/>
          <w:szCs w:val="22"/>
        </w:rPr>
        <w:t xml:space="preserve">, стоимость технического обслуживания программного продукта в течение одного года. В цену программного продукта не входит, стоимость исходных текстов программ, стоимость установки и настройки программных продуктов.</w:t>
      </w:r>
      <w:r/>
    </w:p>
    <w:p>
      <w:pPr>
        <w:rPr>
          <w:rFonts w:ascii="Times New Roman" w:hAnsi="Times New Roman"/>
          <w:sz w:val="22"/>
          <w:szCs w:val="22"/>
        </w:rPr>
      </w:pPr>
      <w:r>
        <w:rPr>
          <w:rFonts w:ascii="Times New Roman" w:hAnsi="Times New Roman"/>
          <w:sz w:val="22"/>
          <w:szCs w:val="22"/>
        </w:rPr>
        <w:t xml:space="preserve">3.6. С момента перехода к Дилеру права собственности на ПП, последний самостоятельно определяет клиента и цену его дальнейшей реализации.</w:t>
      </w:r>
      <w:r/>
    </w:p>
    <w:p>
      <w:pPr>
        <w:rPr>
          <w:rFonts w:ascii="Times New Roman" w:hAnsi="Times New Roman"/>
          <w:sz w:val="22"/>
          <w:szCs w:val="22"/>
        </w:rPr>
      </w:pPr>
      <w:r>
        <w:rPr>
          <w:rFonts w:ascii="Times New Roman" w:hAnsi="Times New Roman"/>
          <w:sz w:val="22"/>
          <w:szCs w:val="22"/>
        </w:rPr>
      </w:r>
      <w:r/>
    </w:p>
    <w:p>
      <w:pPr>
        <w:pStyle w:val="131"/>
      </w:pPr>
      <w:r>
        <w:t xml:space="preserve">4. </w:t>
      </w:r>
      <w:r>
        <w:t xml:space="preserve">Обязанности Сторон</w:t>
      </w:r>
      <w:r/>
    </w:p>
    <w:p>
      <w:pPr>
        <w:rPr>
          <w:rFonts w:ascii="Times New Roman" w:hAnsi="Times New Roman"/>
          <w:sz w:val="22"/>
          <w:szCs w:val="22"/>
        </w:rPr>
      </w:pPr>
      <w:r>
        <w:rPr>
          <w:rFonts w:ascii="Times New Roman" w:hAnsi="Times New Roman"/>
          <w:sz w:val="22"/>
          <w:szCs w:val="22"/>
        </w:rPr>
        <w:t xml:space="preserve">4.1. Производитель обязуется:</w:t>
      </w:r>
      <w:r/>
    </w:p>
    <w:p>
      <w:pPr>
        <w:rPr>
          <w:rFonts w:ascii="Times New Roman" w:hAnsi="Times New Roman"/>
          <w:sz w:val="22"/>
          <w:szCs w:val="22"/>
        </w:rPr>
      </w:pPr>
      <w:r>
        <w:rPr>
          <w:rFonts w:ascii="Times New Roman" w:hAnsi="Times New Roman"/>
          <w:sz w:val="22"/>
          <w:szCs w:val="22"/>
        </w:rPr>
        <w:t xml:space="preserve">- обеспечивать лицензионную чистоту и комплектность передаваемого ПП и материальных носителей;</w:t>
      </w:r>
      <w:r/>
    </w:p>
    <w:p>
      <w:pPr>
        <w:rPr>
          <w:rFonts w:ascii="Times New Roman" w:hAnsi="Times New Roman"/>
          <w:sz w:val="22"/>
          <w:szCs w:val="22"/>
        </w:rPr>
      </w:pPr>
      <w:r>
        <w:rPr>
          <w:rFonts w:ascii="Times New Roman" w:hAnsi="Times New Roman"/>
          <w:sz w:val="22"/>
          <w:szCs w:val="22"/>
        </w:rPr>
        <w:t xml:space="preserve">- поставлять новые версии ПП по запросам Дилера в соответствии с условиями лицензионного соглашения</w:t>
      </w:r>
      <w:r>
        <w:rPr>
          <w:rFonts w:ascii="Times New Roman" w:hAnsi="Times New Roman"/>
          <w:sz w:val="22"/>
          <w:szCs w:val="22"/>
        </w:rPr>
        <w:t xml:space="preserve">. Новые версии поставляются в электронном виде</w:t>
      </w:r>
      <w:r>
        <w:rPr>
          <w:rFonts w:ascii="Times New Roman" w:hAnsi="Times New Roman"/>
          <w:sz w:val="22"/>
          <w:szCs w:val="22"/>
        </w:rPr>
        <w:t xml:space="preserve">;</w:t>
      </w:r>
      <w:r/>
    </w:p>
    <w:p>
      <w:pPr>
        <w:rPr>
          <w:rFonts w:ascii="Times New Roman" w:hAnsi="Times New Roman"/>
          <w:sz w:val="22"/>
          <w:szCs w:val="22"/>
        </w:rPr>
      </w:pPr>
      <w:r>
        <w:rPr>
          <w:rFonts w:ascii="Times New Roman" w:hAnsi="Times New Roman"/>
          <w:sz w:val="22"/>
          <w:szCs w:val="22"/>
        </w:rPr>
        <w:t xml:space="preserve">- предоставлять Дилеру бесплатную консультационную и методическую поддержку;</w:t>
      </w:r>
      <w:r/>
    </w:p>
    <w:p>
      <w:pPr>
        <w:rPr>
          <w:rFonts w:ascii="Times New Roman" w:hAnsi="Times New Roman"/>
          <w:sz w:val="22"/>
          <w:szCs w:val="22"/>
        </w:rPr>
      </w:pPr>
      <w:r>
        <w:rPr>
          <w:rFonts w:ascii="Times New Roman" w:hAnsi="Times New Roman"/>
          <w:sz w:val="22"/>
          <w:szCs w:val="22"/>
        </w:rPr>
        <w:t xml:space="preserve">- обеспечивать подготовку и подписание сопроводительных документов при передаче ПП Дилеру;</w:t>
      </w:r>
      <w:r/>
    </w:p>
    <w:p>
      <w:pPr>
        <w:rPr>
          <w:rFonts w:ascii="Times New Roman" w:hAnsi="Times New Roman"/>
          <w:sz w:val="22"/>
          <w:szCs w:val="22"/>
        </w:rPr>
      </w:pPr>
      <w:r>
        <w:rPr>
          <w:rFonts w:ascii="Times New Roman" w:hAnsi="Times New Roman"/>
          <w:sz w:val="22"/>
          <w:szCs w:val="22"/>
        </w:rPr>
        <w:t xml:space="preserve">- при внесении изменений в дилерский прайс-лист Производитель обязан предупредить дилера об этих изменениях за месяц до вступления в действие нового дилерского прайс-листа;</w:t>
      </w:r>
      <w:r/>
    </w:p>
    <w:p>
      <w:pPr>
        <w:rPr>
          <w:rFonts w:ascii="Times New Roman" w:hAnsi="Times New Roman"/>
          <w:sz w:val="22"/>
          <w:szCs w:val="22"/>
        </w:rPr>
      </w:pPr>
      <w:r>
        <w:rPr>
          <w:rFonts w:ascii="Times New Roman" w:hAnsi="Times New Roman"/>
          <w:sz w:val="22"/>
          <w:szCs w:val="22"/>
        </w:rPr>
        <w:t xml:space="preserve">4.3. Производитель ПП не обязан осуществлять установку ПП конечному пользователю.</w:t>
      </w:r>
      <w:r/>
    </w:p>
    <w:p>
      <w:pPr>
        <w:rPr>
          <w:rFonts w:ascii="Times New Roman" w:hAnsi="Times New Roman"/>
          <w:sz w:val="22"/>
          <w:szCs w:val="22"/>
        </w:rPr>
      </w:pPr>
      <w:r>
        <w:rPr>
          <w:rFonts w:ascii="Times New Roman" w:hAnsi="Times New Roman"/>
          <w:sz w:val="22"/>
          <w:szCs w:val="22"/>
        </w:rPr>
        <w:t xml:space="preserve">4.4. Дилер обязуется:</w:t>
      </w:r>
      <w:r/>
    </w:p>
    <w:p>
      <w:pPr>
        <w:rPr>
          <w:rFonts w:ascii="Times New Roman" w:hAnsi="Times New Roman"/>
          <w:sz w:val="22"/>
          <w:szCs w:val="22"/>
        </w:rPr>
      </w:pPr>
      <w:r>
        <w:rPr>
          <w:rFonts w:ascii="Times New Roman" w:hAnsi="Times New Roman"/>
          <w:sz w:val="22"/>
          <w:szCs w:val="22"/>
        </w:rPr>
        <w:t xml:space="preserve">- реализовывать ПП конечным Пользователям и предоставлять услуги по гарантийному и послегарантийному обслуживанию;</w:t>
      </w:r>
      <w:r/>
    </w:p>
    <w:p>
      <w:pPr>
        <w:rPr>
          <w:rFonts w:ascii="Times New Roman" w:hAnsi="Times New Roman"/>
          <w:sz w:val="22"/>
          <w:szCs w:val="22"/>
        </w:rPr>
      </w:pPr>
      <w:r>
        <w:rPr>
          <w:rFonts w:ascii="Times New Roman" w:hAnsi="Times New Roman"/>
          <w:sz w:val="22"/>
          <w:szCs w:val="22"/>
        </w:rPr>
        <w:t xml:space="preserve">- обеспечивать поставку ПП конечному пользователю в комплектации, полученной от Производителя;</w:t>
      </w:r>
      <w:r/>
    </w:p>
    <w:p>
      <w:pPr>
        <w:rPr>
          <w:rFonts w:ascii="Times New Roman" w:hAnsi="Times New Roman"/>
          <w:sz w:val="22"/>
          <w:szCs w:val="22"/>
        </w:rPr>
      </w:pPr>
      <w:r>
        <w:rPr>
          <w:rFonts w:ascii="Times New Roman" w:hAnsi="Times New Roman"/>
          <w:sz w:val="22"/>
          <w:szCs w:val="22"/>
        </w:rPr>
        <w:t xml:space="preserve">- обеспечивать возможность постоянной и устойчивой связи с Производителем для оперативного обмена информацией (желательно через электронную почту);</w:t>
      </w:r>
      <w:r/>
    </w:p>
    <w:p>
      <w:pPr>
        <w:rPr>
          <w:rFonts w:ascii="Times New Roman" w:hAnsi="Times New Roman"/>
          <w:sz w:val="22"/>
          <w:szCs w:val="22"/>
        </w:rPr>
      </w:pPr>
      <w:r>
        <w:rPr>
          <w:rFonts w:ascii="Times New Roman" w:hAnsi="Times New Roman"/>
          <w:sz w:val="22"/>
          <w:szCs w:val="22"/>
        </w:rPr>
        <w:t xml:space="preserve">- при наличии своего сайта в Интернете, размещать на сайте актуальную информацию о ПП;</w:t>
      </w:r>
      <w:r/>
    </w:p>
    <w:p>
      <w:pPr>
        <w:rPr>
          <w:rFonts w:ascii="Times New Roman" w:hAnsi="Times New Roman"/>
          <w:sz w:val="22"/>
          <w:szCs w:val="22"/>
        </w:rPr>
      </w:pPr>
      <w:r>
        <w:rPr>
          <w:rFonts w:ascii="Times New Roman" w:hAnsi="Times New Roman"/>
          <w:sz w:val="22"/>
          <w:szCs w:val="22"/>
        </w:rPr>
        <w:t xml:space="preserve">- своевременно предоставлять Производителю информацию о проданном ПП;</w:t>
      </w:r>
      <w:r/>
    </w:p>
    <w:p>
      <w:pPr>
        <w:rPr>
          <w:rFonts w:ascii="Times New Roman" w:hAnsi="Times New Roman"/>
          <w:sz w:val="22"/>
          <w:szCs w:val="22"/>
        </w:rPr>
      </w:pPr>
      <w:r>
        <w:rPr>
          <w:rFonts w:ascii="Times New Roman" w:hAnsi="Times New Roman"/>
          <w:sz w:val="22"/>
          <w:szCs w:val="22"/>
        </w:rPr>
        <w:t xml:space="preserve">- не разглашать условия предоставления и размеры дилерской скидки;</w:t>
      </w:r>
      <w:r/>
    </w:p>
    <w:p>
      <w:pPr>
        <w:rPr>
          <w:rFonts w:ascii="Times New Roman" w:hAnsi="Times New Roman"/>
          <w:sz w:val="22"/>
          <w:szCs w:val="22"/>
        </w:rPr>
      </w:pPr>
      <w:r>
        <w:rPr>
          <w:rFonts w:ascii="Times New Roman" w:hAnsi="Times New Roman"/>
          <w:sz w:val="22"/>
          <w:szCs w:val="22"/>
        </w:rPr>
        <w:t xml:space="preserve">- не выкупать ПП для своей деятельности по дилерским скидкам без предварительного согласования </w:t>
      </w:r>
      <w:r>
        <w:rPr>
          <w:rFonts w:ascii="Times New Roman" w:hAnsi="Times New Roman"/>
          <w:sz w:val="22"/>
          <w:szCs w:val="22"/>
        </w:rPr>
        <w:t xml:space="preserve">с Производителем.</w:t>
      </w:r>
      <w:r/>
    </w:p>
    <w:p>
      <w:pPr>
        <w:rPr>
          <w:rFonts w:ascii="Times New Roman" w:hAnsi="Times New Roman"/>
          <w:b/>
          <w:sz w:val="22"/>
          <w:szCs w:val="22"/>
        </w:rPr>
      </w:pPr>
      <w:r>
        <w:rPr>
          <w:rFonts w:ascii="Times New Roman" w:hAnsi="Times New Roman"/>
          <w:b/>
          <w:sz w:val="22"/>
          <w:szCs w:val="22"/>
        </w:rPr>
      </w:r>
      <w:r/>
    </w:p>
    <w:p>
      <w:pPr>
        <w:pStyle w:val="131"/>
      </w:pPr>
      <w:r>
        <w:t xml:space="preserve">5. Ответственность сторон</w:t>
      </w:r>
      <w:r/>
    </w:p>
    <w:p>
      <w:pPr>
        <w:rPr>
          <w:rFonts w:ascii="Times New Roman" w:hAnsi="Times New Roman"/>
          <w:sz w:val="22"/>
          <w:szCs w:val="22"/>
        </w:rPr>
      </w:pPr>
      <w:r>
        <w:rPr>
          <w:rFonts w:ascii="Times New Roman" w:hAnsi="Times New Roman"/>
          <w:sz w:val="22"/>
          <w:szCs w:val="22"/>
        </w:rPr>
        <w:t xml:space="preserve">5.1. Стороны несут ответственность по настоящему договору в соответствии с действующим законодательством РФ.</w:t>
      </w:r>
      <w:r/>
    </w:p>
    <w:p>
      <w:pPr>
        <w:rPr>
          <w:rFonts w:ascii="Times New Roman" w:hAnsi="Times New Roman"/>
          <w:sz w:val="22"/>
          <w:szCs w:val="22"/>
        </w:rPr>
      </w:pPr>
      <w:r>
        <w:rPr>
          <w:rFonts w:ascii="Times New Roman" w:hAnsi="Times New Roman"/>
          <w:sz w:val="22"/>
          <w:szCs w:val="22"/>
        </w:rPr>
        <w:t xml:space="preserve">5.2. Производитель несет ответственность за ПП в части законности его распространения и соблюдение авторских и смежных с ним прав.</w:t>
      </w:r>
      <w:r/>
    </w:p>
    <w:p>
      <w:pPr>
        <w:rPr>
          <w:rFonts w:ascii="Times New Roman" w:hAnsi="Times New Roman"/>
          <w:sz w:val="22"/>
          <w:szCs w:val="22"/>
        </w:rPr>
      </w:pPr>
      <w:r>
        <w:rPr>
          <w:rFonts w:ascii="Times New Roman" w:hAnsi="Times New Roman"/>
          <w:sz w:val="22"/>
          <w:szCs w:val="22"/>
        </w:rPr>
      </w:r>
      <w:r/>
    </w:p>
    <w:p>
      <w:pPr>
        <w:pStyle w:val="131"/>
      </w:pPr>
      <w:r>
        <w:t xml:space="preserve">6. Разрешение споров</w:t>
      </w:r>
      <w:r/>
    </w:p>
    <w:p>
      <w:pPr>
        <w:rPr>
          <w:rFonts w:ascii="Times New Roman" w:hAnsi="Times New Roman"/>
          <w:sz w:val="22"/>
          <w:szCs w:val="22"/>
        </w:rPr>
      </w:pPr>
      <w:r>
        <w:rPr>
          <w:rFonts w:ascii="Times New Roman" w:hAnsi="Times New Roman"/>
          <w:sz w:val="22"/>
          <w:szCs w:val="22"/>
        </w:rPr>
        <w:t xml:space="preserve">6.1. Все спорные вопросы решаются путем переговоров Сторон, а в случае, если стороны не могут прийти к соглашению, то в порядке, предусмотренном Российским законодательством.</w:t>
      </w:r>
      <w:r/>
    </w:p>
    <w:p>
      <w:pPr>
        <w:rPr>
          <w:rFonts w:ascii="Times New Roman" w:hAnsi="Times New Roman"/>
          <w:sz w:val="22"/>
          <w:szCs w:val="22"/>
        </w:rPr>
      </w:pPr>
      <w:r>
        <w:rPr>
          <w:rFonts w:ascii="Times New Roman" w:hAnsi="Times New Roman"/>
          <w:sz w:val="22"/>
          <w:szCs w:val="22"/>
        </w:rPr>
      </w:r>
      <w:r/>
    </w:p>
    <w:p>
      <w:pPr>
        <w:pStyle w:val="131"/>
      </w:pPr>
      <w:r>
        <w:t xml:space="preserve">7. Прочие условия</w:t>
      </w:r>
      <w:r/>
    </w:p>
    <w:p>
      <w:pPr>
        <w:rPr>
          <w:rFonts w:ascii="Times New Roman" w:hAnsi="Times New Roman"/>
          <w:sz w:val="22"/>
          <w:szCs w:val="22"/>
        </w:rPr>
      </w:pPr>
      <w:r>
        <w:rPr>
          <w:rFonts w:ascii="Times New Roman" w:hAnsi="Times New Roman"/>
          <w:sz w:val="22"/>
          <w:szCs w:val="22"/>
        </w:rPr>
        <w:t xml:space="preserve">7.1. Настоящий договор вступает в силу с момента его подписания, имеет неограниченный срок действия и может быть расторгнут в случае прекращения деятельности или невыполнения обязательств по данному Договору одной из Сторон.</w:t>
      </w:r>
      <w:r/>
    </w:p>
    <w:p>
      <w:pPr>
        <w:rPr>
          <w:rFonts w:ascii="Times New Roman" w:hAnsi="Times New Roman"/>
          <w:sz w:val="22"/>
          <w:szCs w:val="22"/>
        </w:rPr>
      </w:pPr>
      <w:r>
        <w:rPr>
          <w:rFonts w:ascii="Times New Roman" w:hAnsi="Times New Roman"/>
          <w:sz w:val="22"/>
          <w:szCs w:val="22"/>
        </w:rPr>
        <w:t xml:space="preserve">7.2. Если в течение 6 месяцев Дилером не было произведено ни одной закупки комплекта ПП, Производитель имеет право пересмотреть предоставленные Дилеру скидки.</w:t>
      </w:r>
      <w:r/>
    </w:p>
    <w:p>
      <w:pPr>
        <w:rPr>
          <w:rFonts w:ascii="Times New Roman" w:hAnsi="Times New Roman"/>
          <w:sz w:val="22"/>
          <w:szCs w:val="22"/>
        </w:rPr>
      </w:pPr>
      <w:r>
        <w:rPr>
          <w:rFonts w:ascii="Times New Roman" w:hAnsi="Times New Roman"/>
          <w:sz w:val="22"/>
          <w:szCs w:val="22"/>
        </w:rPr>
        <w:t xml:space="preserve">7.3. Права и обязанности каждой из Сторон по настоящему договору не могут быть переуступлены другому юридическому или физическому лицу без письменного на то разрешения другой стороны за исключением случаев, предусмотренных настоящим договором или дополнительными соглашениями к нему.</w:t>
      </w:r>
      <w:r/>
    </w:p>
    <w:p>
      <w:pPr>
        <w:rPr>
          <w:rFonts w:ascii="Times New Roman" w:hAnsi="Times New Roman"/>
          <w:sz w:val="22"/>
          <w:szCs w:val="22"/>
        </w:rPr>
      </w:pPr>
      <w:r>
        <w:rPr>
          <w:rFonts w:ascii="Times New Roman" w:hAnsi="Times New Roman"/>
          <w:sz w:val="22"/>
          <w:szCs w:val="22"/>
        </w:rPr>
        <w:t xml:space="preserve">7.4. Все дополнения и изменения к настоящему договору должны быть оформлены в письменном виде и подписаны уполномоченными на это лицами.</w:t>
      </w:r>
      <w:r/>
    </w:p>
    <w:p>
      <w:pPr>
        <w:rPr>
          <w:rFonts w:ascii="Times New Roman" w:hAnsi="Times New Roman"/>
          <w:sz w:val="22"/>
          <w:szCs w:val="22"/>
        </w:rPr>
      </w:pPr>
      <w:r>
        <w:rPr>
          <w:rFonts w:ascii="Times New Roman" w:hAnsi="Times New Roman"/>
          <w:sz w:val="22"/>
          <w:szCs w:val="22"/>
        </w:rPr>
        <w:t xml:space="preserve">7.6. Договор составлен в двух экземплярах, имеющих одинаковую юридическую силу.</w:t>
      </w:r>
      <w:r/>
    </w:p>
    <w:p>
      <w:pPr>
        <w:rPr>
          <w:rFonts w:ascii="Times New Roman" w:hAnsi="Times New Roman"/>
          <w:sz w:val="22"/>
          <w:szCs w:val="22"/>
        </w:rPr>
      </w:pPr>
      <w:r>
        <w:rPr>
          <w:rFonts w:ascii="Times New Roman" w:hAnsi="Times New Roman"/>
          <w:sz w:val="22"/>
          <w:szCs w:val="22"/>
        </w:rPr>
      </w:r>
      <w:r/>
    </w:p>
    <w:p>
      <w:pPr>
        <w:pStyle w:val="131"/>
      </w:pPr>
      <w:r>
        <w:t xml:space="preserve">8. Юридические адреса и реквизиты Сторон</w:t>
      </w:r>
      <w:r/>
    </w:p>
    <w:p>
      <w:pPr>
        <w:rPr>
          <w:b/>
        </w:rPr>
      </w:pPr>
      <w:r>
        <w:rPr>
          <w:b/>
        </w:rPr>
      </w:r>
      <w:r/>
    </w:p>
    <w:tbl>
      <w:tblPr>
        <w:tblW w:w="0" w:type="auto"/>
        <w:tblLayout w:type="fixed"/>
        <w:tblLook w:val="0000" w:firstRow="0" w:lastRow="0" w:firstColumn="0" w:lastColumn="0" w:noHBand="0" w:noVBand="0"/>
      </w:tblPr>
      <w:tblGrid>
        <w:gridCol w:w="4928"/>
        <w:gridCol w:w="4927"/>
      </w:tblGrid>
      <w:tr>
        <w:trPr/>
        <w:tc>
          <w:tcPr>
            <w:tcW w:w="4928" w:type="dxa"/>
            <w:textDirection w:val="lrTb"/>
            <w:noWrap w:val="false"/>
          </w:tcPr>
          <w:p>
            <w:pPr>
              <w:rPr>
                <w:rFonts w:ascii="Times New Roman" w:hAnsi="Times New Roman"/>
                <w:b/>
                <w:sz w:val="22"/>
                <w:szCs w:val="22"/>
              </w:rPr>
            </w:pPr>
            <w:r>
              <w:rPr>
                <w:rFonts w:ascii="Times New Roman" w:hAnsi="Times New Roman"/>
                <w:b/>
                <w:sz w:val="22"/>
                <w:szCs w:val="22"/>
              </w:rPr>
              <w:t xml:space="preserve">Производитель:</w:t>
            </w:r>
            <w:r/>
          </w:p>
        </w:tc>
        <w:tc>
          <w:tcPr>
            <w:tcW w:w="4927" w:type="dxa"/>
            <w:textDirection w:val="lrTb"/>
            <w:noWrap w:val="false"/>
          </w:tcPr>
          <w:p>
            <w:pPr>
              <w:rPr>
                <w:rFonts w:ascii="Times New Roman" w:hAnsi="Times New Roman"/>
                <w:b/>
                <w:sz w:val="22"/>
                <w:szCs w:val="22"/>
              </w:rPr>
            </w:pPr>
            <w:r>
              <w:rPr>
                <w:rFonts w:ascii="Times New Roman" w:hAnsi="Times New Roman"/>
                <w:b/>
                <w:sz w:val="22"/>
                <w:szCs w:val="22"/>
              </w:rPr>
              <w:t xml:space="preserve">Дилер:</w:t>
            </w:r>
            <w:r/>
          </w:p>
        </w:tc>
      </w:tr>
      <w:tr>
        <w:trPr/>
        <w:tc>
          <w:tcPr>
            <w:tcW w:w="4928" w:type="dxa"/>
            <w:textDirection w:val="lrTb"/>
            <w:noWrap w:val="false"/>
          </w:tcPr>
          <w:p>
            <w:pPr>
              <w:rPr>
                <w:rFonts w:ascii="Times New Roman" w:hAnsi="Times New Roman"/>
                <w:sz w:val="22"/>
                <w:szCs w:val="22"/>
              </w:rPr>
            </w:pPr>
            <w:r>
              <w:rPr>
                <w:rFonts w:ascii="Times New Roman" w:hAnsi="Times New Roman"/>
                <w:sz w:val="22"/>
                <w:szCs w:val="22"/>
              </w:rPr>
              <w:t xml:space="preserve">ИП Сунгатулин Равиль Тагирович</w:t>
            </w:r>
            <w:r/>
          </w:p>
          <w:p>
            <w:pPr>
              <w:rPr>
                <w:rFonts w:ascii="Times New Roman" w:hAnsi="Times New Roman"/>
                <w:sz w:val="22"/>
                <w:szCs w:val="22"/>
              </w:rPr>
            </w:pPr>
            <w:r>
              <w:rPr>
                <w:rFonts w:ascii="Times New Roman" w:hAnsi="Times New Roman"/>
                <w:sz w:val="22"/>
                <w:szCs w:val="22"/>
              </w:rPr>
              <w:t xml:space="preserve">ИНН: 540408403260</w:t>
            </w:r>
            <w:r/>
          </w:p>
          <w:p>
            <w:pPr>
              <w:rPr>
                <w:rFonts w:ascii="Times New Roman" w:hAnsi="Times New Roman"/>
                <w:sz w:val="22"/>
                <w:szCs w:val="22"/>
              </w:rPr>
            </w:pPr>
            <w:r>
              <w:rPr>
                <w:rFonts w:ascii="Times New Roman" w:hAnsi="Times New Roman"/>
                <w:sz w:val="22"/>
                <w:szCs w:val="22"/>
              </w:rPr>
              <w:t xml:space="preserve">Адрес:</w:t>
            </w:r>
            <w:r/>
          </w:p>
          <w:p>
            <w:pPr>
              <w:rPr>
                <w:rFonts w:ascii="Times New Roman" w:hAnsi="Times New Roman"/>
                <w:sz w:val="22"/>
                <w:szCs w:val="22"/>
              </w:rPr>
            </w:pPr>
            <w:r>
              <w:rPr>
                <w:rFonts w:ascii="Times New Roman" w:hAnsi="Times New Roman"/>
                <w:sz w:val="22"/>
                <w:szCs w:val="22"/>
              </w:rPr>
              <w:t xml:space="preserve">Россия, 630054, г. Новосибирск ул. Плахотного, д.29 кв. 19 </w:t>
            </w:r>
            <w:r/>
          </w:p>
          <w:p>
            <w:pPr>
              <w:rPr>
                <w:rFonts w:ascii="Times New Roman" w:hAnsi="Times New Roman"/>
                <w:sz w:val="22"/>
                <w:szCs w:val="22"/>
              </w:rPr>
            </w:pPr>
            <w:r>
              <w:rPr>
                <w:rFonts w:ascii="Times New Roman" w:hAnsi="Times New Roman"/>
                <w:sz w:val="22"/>
                <w:szCs w:val="22"/>
              </w:rPr>
              <w:t xml:space="preserve">Телефон/Факс: (383) 355-48-23 </w:t>
            </w:r>
            <w:r/>
          </w:p>
          <w:p>
            <w:pPr>
              <w:rPr>
                <w:rFonts w:ascii="Times New Roman" w:hAnsi="Times New Roman"/>
                <w:sz w:val="22"/>
                <w:szCs w:val="22"/>
              </w:rPr>
            </w:pPr>
            <w:r>
              <w:rPr>
                <w:rFonts w:ascii="Times New Roman" w:hAnsi="Times New Roman"/>
                <w:sz w:val="22"/>
                <w:szCs w:val="22"/>
              </w:rPr>
              <w:t xml:space="preserve">Банковские реквизиты: </w:t>
            </w:r>
            <w:r/>
          </w:p>
          <w:p>
            <w:pPr>
              <w:rPr>
                <w:rFonts w:ascii="Times New Roman" w:hAnsi="Times New Roman"/>
                <w:sz w:val="22"/>
                <w:szCs w:val="22"/>
              </w:rPr>
            </w:pPr>
            <w:r>
              <w:rPr>
                <w:rFonts w:ascii="Times New Roman" w:hAnsi="Times New Roman"/>
                <w:sz w:val="22"/>
                <w:szCs w:val="22"/>
              </w:rPr>
              <w:t xml:space="preserve">к/с 30101810500000000816</w:t>
            </w:r>
            <w:r/>
          </w:p>
          <w:p>
            <w:pPr>
              <w:rPr>
                <w:rFonts w:ascii="Times New Roman" w:hAnsi="Times New Roman"/>
                <w:sz w:val="22"/>
                <w:szCs w:val="22"/>
              </w:rPr>
            </w:pPr>
            <w:r>
              <w:rPr>
                <w:rFonts w:ascii="Times New Roman" w:hAnsi="Times New Roman"/>
                <w:sz w:val="22"/>
                <w:szCs w:val="22"/>
              </w:rPr>
              <w:t xml:space="preserve">р/с 40802810444000565101</w:t>
            </w:r>
            <w:r/>
          </w:p>
          <w:p>
            <w:pPr>
              <w:rPr>
                <w:rFonts w:ascii="Times New Roman" w:hAnsi="Times New Roman"/>
                <w:sz w:val="22"/>
                <w:szCs w:val="22"/>
              </w:rPr>
            </w:pPr>
            <w:r>
              <w:rPr>
                <w:rFonts w:ascii="Times New Roman" w:hAnsi="Times New Roman"/>
                <w:sz w:val="22"/>
                <w:szCs w:val="22"/>
              </w:rPr>
              <w:t xml:space="preserve">Сибирский филиал </w:t>
            </w:r>
            <w:r>
              <w:rPr>
                <w:rFonts w:ascii="Times New Roman" w:hAnsi="Times New Roman"/>
                <w:sz w:val="22"/>
                <w:szCs w:val="22"/>
              </w:rPr>
              <w:t xml:space="preserve">ПАО</w:t>
            </w:r>
            <w:r>
              <w:rPr>
                <w:rFonts w:ascii="Times New Roman" w:hAnsi="Times New Roman"/>
                <w:sz w:val="22"/>
                <w:szCs w:val="22"/>
              </w:rPr>
              <w:t xml:space="preserve"> «Промсвязьбанк», г. Новосибирск</w:t>
            </w:r>
            <w:r/>
          </w:p>
          <w:p>
            <w:pPr>
              <w:rPr>
                <w:rFonts w:ascii="Times New Roman" w:hAnsi="Times New Roman"/>
                <w:sz w:val="22"/>
                <w:szCs w:val="22"/>
              </w:rPr>
            </w:pPr>
            <w:r>
              <w:rPr>
                <w:rFonts w:ascii="Times New Roman" w:hAnsi="Times New Roman"/>
                <w:sz w:val="22"/>
                <w:szCs w:val="22"/>
              </w:rPr>
              <w:t xml:space="preserve">БИК 045004816</w:t>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t xml:space="preserve">ИП Сунгатулин Р.Т</w:t>
            </w:r>
            <w:r/>
          </w:p>
          <w:p>
            <w:pPr>
              <w:rPr>
                <w:rFonts w:ascii="Times New Roman" w:hAnsi="Times New Roman"/>
                <w:sz w:val="22"/>
                <w:szCs w:val="22"/>
              </w:rPr>
            </w:pPr>
            <w:r>
              <w:rPr>
                <w:rFonts w:ascii="Times New Roman" w:hAnsi="Times New Roman"/>
                <w:sz w:val="22"/>
                <w:szCs w:val="22"/>
              </w:rPr>
              <w:t xml:space="preserve">_______________________/ Сунгатулин Р.Т. /</w:t>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t xml:space="preserve">М. П.</w:t>
            </w:r>
            <w:r/>
          </w:p>
        </w:tc>
        <w:tc>
          <w:tcPr>
            <w:tcW w:w="4927" w:type="dxa"/>
            <w:textDirection w:val="lrTb"/>
            <w:noWrap w:val="false"/>
          </w:tcPr>
          <w:p>
            <w:pPr>
              <w:rPr>
                <w:rFonts w:ascii="Times New Roman" w:hAnsi="Times New Roman"/>
                <w:sz w:val="22"/>
                <w:szCs w:val="22"/>
              </w:rPr>
            </w:pPr>
            <w:r>
              <w:rPr>
                <w:rFonts w:ascii="Times New Roman" w:hAnsi="Times New Roman"/>
                <w:sz w:val="22"/>
                <w:szCs w:val="22"/>
              </w:rPr>
              <w:t xml:space="preserve">Реквизиты</w:t>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t xml:space="preserve">________________________/ </w:t>
            </w:r>
            <w:r>
              <w:rPr>
                <w:rFonts w:ascii="Times New Roman" w:hAnsi="Times New Roman"/>
                <w:sz w:val="22"/>
                <w:szCs w:val="22"/>
              </w:rPr>
              <w:t xml:space="preserve">                                  </w:t>
            </w:r>
            <w:r>
              <w:rPr>
                <w:rFonts w:ascii="Times New Roman" w:hAnsi="Times New Roman"/>
                <w:sz w:val="22"/>
                <w:szCs w:val="22"/>
              </w:rPr>
              <w:t xml:space="preserve">/</w:t>
            </w:r>
            <w:r/>
          </w:p>
          <w:p>
            <w:pPr>
              <w:rPr>
                <w:rFonts w:ascii="Times New Roman" w:hAnsi="Times New Roman"/>
                <w:sz w:val="22"/>
                <w:szCs w:val="22"/>
              </w:rPr>
            </w:pPr>
            <w:r>
              <w:rPr>
                <w:rFonts w:ascii="Times New Roman" w:hAnsi="Times New Roman"/>
                <w:sz w:val="22"/>
                <w:szCs w:val="22"/>
              </w:rPr>
            </w:r>
            <w:r/>
          </w:p>
          <w:p>
            <w:pPr>
              <w:rPr>
                <w:rFonts w:ascii="Times New Roman" w:hAnsi="Times New Roman"/>
                <w:sz w:val="22"/>
                <w:szCs w:val="22"/>
              </w:rPr>
            </w:pPr>
            <w:r>
              <w:rPr>
                <w:rFonts w:ascii="Times New Roman" w:hAnsi="Times New Roman"/>
                <w:sz w:val="22"/>
                <w:szCs w:val="22"/>
              </w:rPr>
              <w:t xml:space="preserve">М. П.</w:t>
            </w:r>
            <w:r/>
          </w:p>
        </w:tc>
      </w:tr>
    </w:tbl>
    <w:p>
      <w:pPr>
        <w:pStyle w:val="155"/>
        <w:jc w:val="right"/>
      </w:pPr>
      <w:r/>
      <w:r/>
    </w:p>
    <w:p>
      <w:pPr>
        <w:pStyle w:val="131"/>
        <w:numPr>
          <w:ilvl w:val="0"/>
          <w:numId w:val="0"/>
        </w:numPr>
      </w:pPr>
      <w:r/>
      <w:r/>
    </w:p>
    <w:sectPr>
      <w:headerReference w:type="default" r:id="rId8"/>
      <w:headerReference w:type="even" r:id="rId9"/>
      <w:headerReference w:type="first" r:id="rId10"/>
      <w:footerReference w:type="default" r:id="rId11"/>
      <w:footerReference w:type="even" r:id="rId12"/>
      <w:footerReference w:type="first" r:id="rId13"/>
      <w:footnotePr>
        <w:pos w:val="beneathText"/>
      </w:footnotePr>
      <w:type w:val="nextPage"/>
      <w:pgSz w:w="11905" w:h="16837"/>
      <w:pgMar w:top="1134" w:right="850" w:bottom="1134" w:left="1418" w:gutter="0" w:header="720" w:footer="720"/>
      <w:cols w:num="1" w:sep="0" w:space="2"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font>
  <w:font w:name="Courier New">
    <w:panose1 w:val="02070309020205020404"/>
  </w:font>
  <w:font w:name="MS Mincho">
    <w:panose1 w:val="02070609020205090404"/>
  </w:font>
  <w:font w:name="Symbol">
    <w:panose1 w:val="02000000000000000000"/>
  </w:font>
  <w:font w:name="Tahoma">
    <w:panose1 w:val="020B0604030504040204"/>
  </w:font>
  <w:font w:name="Times New Roman">
    <w:panose1 w:val="02020603050405020304"/>
  </w:font>
  <w:font w:name="Wingdings">
    <w:panose1 w:val="05000000000000000000"/>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4"/>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4"/>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2"/>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2"/>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4"/>
      <w:numFmt w:val="decimal"/>
      <w:suff w:val="tab"/>
      <w:lvlText w:val="%1."/>
      <w:lvlJc w:val="left"/>
      <w:pPr>
        <w:ind w:left="360" w:hanging="359"/>
        <w:tabs>
          <w:tab w:val="left" w:pos="360"/>
        </w:tabs>
      </w:pPr>
    </w:lvl>
    <w:lvl w:ilvl="1">
      <w:start w:val="1"/>
      <w:numFmt w:val="bullet"/>
      <w:suff w:val="tab"/>
      <w:lvlText w:val="o"/>
      <w:lvlJc w:val="left"/>
      <w:pPr>
        <w:ind w:left="1440" w:hanging="359"/>
      </w:pPr>
      <w:rPr>
        <w:rFonts w:ascii="Courier New" w:hAnsi="Courier New" w:cs="Courier New" w:eastAsia="Courier New" w:hint="default"/>
      </w:rPr>
    </w:lvl>
    <w:lvl w:ilvl="2">
      <w:start w:val="1"/>
      <w:numFmt w:val="bullet"/>
      <w:suff w:val="tab"/>
      <w:lvlText w:val="§"/>
      <w:lvlJc w:val="left"/>
      <w:pPr>
        <w:ind w:left="2160" w:hanging="359"/>
      </w:pPr>
      <w:rPr>
        <w:rFonts w:ascii="Wingdings" w:hAnsi="Wingdings" w:cs="Wingdings" w:eastAsia="Wingdings" w:hint="default"/>
      </w:rPr>
    </w:lvl>
    <w:lvl w:ilvl="3">
      <w:start w:val="1"/>
      <w:numFmt w:val="bullet"/>
      <w:suff w:val="tab"/>
      <w:lvlText w:val="·"/>
      <w:lvlJc w:val="left"/>
      <w:pPr>
        <w:ind w:left="2880" w:hanging="359"/>
      </w:pPr>
      <w:rPr>
        <w:rFonts w:ascii="Symbol" w:hAnsi="Symbol" w:cs="Symbol" w:eastAsia="Symbol" w:hint="default"/>
      </w:rPr>
    </w:lvl>
    <w:lvl w:ilvl="4">
      <w:start w:val="1"/>
      <w:numFmt w:val="bullet"/>
      <w:suff w:val="tab"/>
      <w:lvlText w:val="o"/>
      <w:lvlJc w:val="left"/>
      <w:pPr>
        <w:ind w:left="3600" w:hanging="359"/>
      </w:pPr>
      <w:rPr>
        <w:rFonts w:ascii="Courier New" w:hAnsi="Courier New" w:cs="Courier New" w:eastAsia="Courier New" w:hint="default"/>
      </w:rPr>
    </w:lvl>
    <w:lvl w:ilvl="5">
      <w:start w:val="1"/>
      <w:numFmt w:val="bullet"/>
      <w:suff w:val="tab"/>
      <w:lvlText w:val="§"/>
      <w:lvlJc w:val="left"/>
      <w:pPr>
        <w:ind w:left="4320" w:hanging="359"/>
      </w:pPr>
      <w:rPr>
        <w:rFonts w:ascii="Wingdings" w:hAnsi="Wingdings" w:cs="Wingdings" w:eastAsia="Wingdings" w:hint="default"/>
      </w:rPr>
    </w:lvl>
    <w:lvl w:ilvl="6">
      <w:start w:val="1"/>
      <w:numFmt w:val="bullet"/>
      <w:suff w:val="tab"/>
      <w:lvlText w:val="·"/>
      <w:lvlJc w:val="left"/>
      <w:pPr>
        <w:ind w:left="5040" w:hanging="359"/>
      </w:pPr>
      <w:rPr>
        <w:rFonts w:ascii="Symbol" w:hAnsi="Symbol" w:cs="Symbol" w:eastAsia="Symbol" w:hint="default"/>
      </w:rPr>
    </w:lvl>
    <w:lvl w:ilvl="7">
      <w:start w:val="1"/>
      <w:numFmt w:val="bullet"/>
      <w:suff w:val="tab"/>
      <w:lvlText w:val="o"/>
      <w:lvlJc w:val="left"/>
      <w:pPr>
        <w:ind w:left="5760" w:hanging="359"/>
      </w:pPr>
      <w:rPr>
        <w:rFonts w:ascii="Courier New" w:hAnsi="Courier New" w:cs="Courier New" w:eastAsia="Courier New" w:hint="default"/>
      </w:rPr>
    </w:lvl>
    <w:lvl w:ilvl="8">
      <w:start w:val="1"/>
      <w:numFmt w:val="bullet"/>
      <w:suff w:val="tab"/>
      <w:lvlText w:val="§"/>
      <w:lvlJc w:val="left"/>
      <w:pPr>
        <w:ind w:left="6480" w:hanging="359"/>
      </w:pPr>
      <w:rPr>
        <w:rFonts w:ascii="Wingdings" w:hAnsi="Wingdings" w:cs="Wingdings" w:eastAsia="Wingdings" w:hint="default"/>
      </w:rPr>
    </w:lvl>
  </w:abstractNum>
  <w:abstractNum w:abstractNumId="1">
    <w:multiLevelType w:val="hybridMultilevel"/>
    <w:lvl w:ilvl="0">
      <w:start w:val="1"/>
      <w:numFmt w:val="none"/>
      <w:pStyle w:val="130"/>
      <w:suff w:val="nothing"/>
      <w:lvlText w:val=""/>
      <w:lvlJc w:val="left"/>
      <w:pPr>
        <w:ind w:left="0" w:hanging="0"/>
        <w:tabs>
          <w:tab w:val="left" w:pos="0"/>
        </w:tabs>
      </w:pPr>
    </w:lvl>
    <w:lvl w:ilvl="1">
      <w:start w:val="1"/>
      <w:numFmt w:val="none"/>
      <w:pStyle w:val="131"/>
      <w:suff w:val="nothing"/>
      <w:lvlText w:val=""/>
      <w:lvlJc w:val="left"/>
      <w:pPr>
        <w:ind w:left="0" w:hanging="0"/>
        <w:tabs>
          <w:tab w:val="left" w:pos="0"/>
        </w:tabs>
      </w:pPr>
    </w:lvl>
    <w:lvl w:ilvl="2">
      <w:start w:val="1"/>
      <w:numFmt w:val="none"/>
      <w:suff w:val="nothing"/>
      <w:lvlText w:val=""/>
      <w:lvlJc w:val="left"/>
      <w:pPr>
        <w:ind w:left="0" w:hanging="0"/>
        <w:tabs>
          <w:tab w:val="left" w:pos="0"/>
        </w:tabs>
      </w:pPr>
    </w:lvl>
    <w:lvl w:ilvl="3">
      <w:start w:val="1"/>
      <w:numFmt w:val="none"/>
      <w:suff w:val="nothing"/>
      <w:lvlText w:val=""/>
      <w:lvlJc w:val="left"/>
      <w:pPr>
        <w:ind w:left="0" w:hanging="0"/>
        <w:tabs>
          <w:tab w:val="left" w:pos="0"/>
        </w:tabs>
      </w:pPr>
    </w:lvl>
    <w:lvl w:ilvl="4">
      <w:start w:val="1"/>
      <w:numFmt w:val="none"/>
      <w:suff w:val="nothing"/>
      <w:lvlText w:val=""/>
      <w:lvlJc w:val="left"/>
      <w:pPr>
        <w:ind w:left="0" w:hanging="0"/>
        <w:tabs>
          <w:tab w:val="left" w:pos="0"/>
        </w:tabs>
      </w:pPr>
    </w:lvl>
    <w:lvl w:ilvl="5">
      <w:start w:val="1"/>
      <w:numFmt w:val="none"/>
      <w:suff w:val="nothing"/>
      <w:lvlText w:val=""/>
      <w:lvlJc w:val="left"/>
      <w:pPr>
        <w:ind w:left="0" w:hanging="0"/>
        <w:tabs>
          <w:tab w:val="left" w:pos="0"/>
        </w:tabs>
      </w:pPr>
    </w:lvl>
    <w:lvl w:ilvl="6">
      <w:start w:val="1"/>
      <w:numFmt w:val="none"/>
      <w:suff w:val="nothing"/>
      <w:lvlText w:val=""/>
      <w:lvlJc w:val="left"/>
      <w:pPr>
        <w:ind w:left="0" w:hanging="0"/>
        <w:tabs>
          <w:tab w:val="left" w:pos="0"/>
        </w:tabs>
      </w:pPr>
    </w:lvl>
    <w:lvl w:ilvl="7">
      <w:start w:val="1"/>
      <w:numFmt w:val="none"/>
      <w:suff w:val="nothing"/>
      <w:lvlText w:val=""/>
      <w:lvlJc w:val="left"/>
      <w:pPr>
        <w:ind w:left="0" w:hanging="0"/>
        <w:tabs>
          <w:tab w:val="left" w:pos="0"/>
        </w:tabs>
      </w:pPr>
    </w:lvl>
    <w:lvl w:ilvl="8">
      <w:start w:val="1"/>
      <w:numFmt w:val="none"/>
      <w:suff w:val="nothing"/>
      <w:lvlText w:val=""/>
      <w:lvlJc w:val="left"/>
      <w:pPr>
        <w:ind w:left="0" w:hanging="0"/>
        <w:tabs>
          <w:tab w:val="left" w:pos="0"/>
        </w:tabs>
      </w:p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beneathText"/>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color w:val="auto"/>
        <w:spacing w:val="0"/>
        <w:position w:val="0"/>
        <w:sz w:val="20"/>
        <w:szCs w:val="22"/>
        <w:lang w:val="ru-RU" w:bidi="ar-SA" w:eastAsia="ja-JP"/>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3"/>
    <w:basedOn w:val="129"/>
    <w:next w:val="129"/>
    <w:qFormat/>
    <w:uiPriority w:val="9"/>
    <w:unhideWhenUsed/>
    <w:rPr>
      <w:rFonts w:ascii="Arial" w:hAnsi="Arial" w:cs="Arial" w:eastAsia="Arial"/>
      <w:b/>
      <w:bCs/>
      <w:i/>
      <w:iCs/>
      <w:color w:val="000000" w:themeColor="text1"/>
      <w:sz w:val="36"/>
      <w:szCs w:val="36"/>
    </w:rPr>
    <w:pPr>
      <w:keepLines/>
      <w:keepNext/>
      <w:spacing w:after="0" w:before="200"/>
    </w:pPr>
  </w:style>
  <w:style w:type="paragraph" w:styleId="14">
    <w:name w:val="Heading 4"/>
    <w:basedOn w:val="129"/>
    <w:next w:val="129"/>
    <w:qFormat/>
    <w:uiPriority w:val="9"/>
    <w:unhideWhenUsed/>
    <w:rPr>
      <w:rFonts w:ascii="Arial" w:hAnsi="Arial" w:cs="Arial" w:eastAsia="Arial"/>
      <w:color w:val="232323"/>
      <w:sz w:val="32"/>
      <w:szCs w:val="32"/>
    </w:rPr>
    <w:pPr>
      <w:keepLines/>
      <w:keepNext/>
      <w:spacing w:after="0" w:before="200"/>
    </w:pPr>
  </w:style>
  <w:style w:type="paragraph" w:styleId="15">
    <w:name w:val="Heading 5"/>
    <w:basedOn w:val="129"/>
    <w:next w:val="129"/>
    <w:qFormat/>
    <w:uiPriority w:val="9"/>
    <w:unhideWhenUsed/>
    <w:rPr>
      <w:rFonts w:ascii="Arial" w:hAnsi="Arial" w:cs="Arial" w:eastAsia="Arial"/>
      <w:b/>
      <w:bCs/>
      <w:color w:val="444444"/>
      <w:sz w:val="28"/>
      <w:szCs w:val="28"/>
    </w:rPr>
    <w:pPr>
      <w:keepLines/>
      <w:keepNext/>
      <w:spacing w:after="0" w:before="200"/>
    </w:pPr>
  </w:style>
  <w:style w:type="paragraph" w:styleId="16">
    <w:name w:val="Heading 6"/>
    <w:basedOn w:val="129"/>
    <w:next w:val="129"/>
    <w:qFormat/>
    <w:uiPriority w:val="9"/>
    <w:unhideWhenUsed/>
    <w:rPr>
      <w:rFonts w:ascii="Arial" w:hAnsi="Arial" w:cs="Arial" w:eastAsia="Arial"/>
      <w:i/>
      <w:iCs/>
      <w:color w:val="232323"/>
      <w:sz w:val="28"/>
      <w:szCs w:val="28"/>
    </w:rPr>
    <w:pPr>
      <w:keepLines/>
      <w:keepNext/>
      <w:spacing w:after="0" w:before="200"/>
    </w:pPr>
  </w:style>
  <w:style w:type="paragraph" w:styleId="17">
    <w:name w:val="Heading 7"/>
    <w:basedOn w:val="129"/>
    <w:next w:val="129"/>
    <w:qFormat/>
    <w:uiPriority w:val="9"/>
    <w:unhideWhenUsed/>
    <w:rPr>
      <w:rFonts w:ascii="Arial" w:hAnsi="Arial" w:cs="Arial" w:eastAsia="Arial"/>
      <w:b/>
      <w:bCs/>
      <w:color w:val="606060"/>
      <w:sz w:val="24"/>
      <w:szCs w:val="24"/>
    </w:rPr>
    <w:pPr>
      <w:keepLines/>
      <w:keepNext/>
      <w:spacing w:after="0" w:before="200"/>
    </w:pPr>
  </w:style>
  <w:style w:type="paragraph" w:styleId="18">
    <w:name w:val="Heading 8"/>
    <w:basedOn w:val="129"/>
    <w:next w:val="129"/>
    <w:qFormat/>
    <w:uiPriority w:val="9"/>
    <w:unhideWhenUsed/>
    <w:rPr>
      <w:rFonts w:ascii="Arial" w:hAnsi="Arial" w:cs="Arial" w:eastAsia="Arial"/>
      <w:color w:val="444444"/>
      <w:sz w:val="24"/>
      <w:szCs w:val="24"/>
    </w:rPr>
    <w:pPr>
      <w:keepLines/>
      <w:keepNext/>
      <w:spacing w:after="0" w:before="200"/>
    </w:pPr>
  </w:style>
  <w:style w:type="paragraph" w:styleId="19">
    <w:name w:val="Heading 9"/>
    <w:basedOn w:val="129"/>
    <w:next w:val="129"/>
    <w:qFormat/>
    <w:uiPriority w:val="9"/>
    <w:unhideWhenUsed/>
    <w:rPr>
      <w:rFonts w:ascii="Arial" w:hAnsi="Arial" w:cs="Arial" w:eastAsia="Arial"/>
      <w:i/>
      <w:iCs/>
      <w:color w:val="444444"/>
      <w:sz w:val="23"/>
      <w:szCs w:val="23"/>
    </w:rPr>
    <w:pPr>
      <w:keepLines/>
      <w:keepNext/>
      <w:spacing w:after="0" w:before="200"/>
    </w:pPr>
  </w:style>
  <w:style w:type="paragraph" w:styleId="20">
    <w:name w:val="List Paragraph"/>
    <w:basedOn w:val="129"/>
    <w:qFormat/>
    <w:uiPriority w:val="34"/>
    <w:pPr>
      <w:contextualSpacing w:val="true"/>
      <w:ind w:left="720"/>
    </w:pPr>
  </w:style>
  <w:style w:type="paragraph" w:styleId="22">
    <w:name w:val="No Spacing"/>
    <w:basedOn w:val="129"/>
    <w:qFormat/>
    <w:uiPriority w:val="1"/>
    <w:rPr>
      <w:color w:val="000000"/>
    </w:rPr>
    <w:pPr>
      <w:spacing w:lineRule="auto" w:line="240" w:after="0"/>
    </w:pPr>
  </w:style>
  <w:style w:type="paragraph" w:styleId="25">
    <w:name w:val="Quote"/>
    <w:basedOn w:val="129"/>
    <w:next w:val="129"/>
    <w:qFormat/>
    <w:uiPriority w:val="29"/>
    <w:rPr>
      <w:i/>
      <w:color w:val="373737"/>
      <w:sz w:val="18"/>
    </w:rPr>
    <w:pPr>
      <w:ind w:left="3402"/>
      <w:pBdr>
        <w:left w:val="single" w:color="A6A6A6" w:sz="12" w:space="11"/>
        <w:bottom w:val="single" w:color="A6A6A6" w:sz="12" w:space="3"/>
      </w:pBdr>
    </w:pPr>
  </w:style>
  <w:style w:type="paragraph" w:styleId="26">
    <w:name w:val="Intense Quote"/>
    <w:basedOn w:val="129"/>
    <w:next w:val="129"/>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table" w:styleId="29">
    <w:name w:val="Table Grid"/>
    <w:basedOn w:val="13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30">
    <w:name w:val="Lined"/>
    <w:basedOn w:val="13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13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13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13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13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13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133"/>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133"/>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133"/>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133"/>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133"/>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133"/>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133"/>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133"/>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133"/>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133"/>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133"/>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133"/>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133"/>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133"/>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133"/>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52">
    <w:name w:val="footnote text"/>
    <w:basedOn w:val="129"/>
    <w:uiPriority w:val="99"/>
    <w:semiHidden/>
    <w:unhideWhenUsed/>
    <w:rPr>
      <w:sz w:val="20"/>
    </w:rPr>
    <w:pPr>
      <w:spacing w:lineRule="auto" w:line="240" w:after="0"/>
    </w:pPr>
  </w:style>
  <w:style w:type="character" w:styleId="53">
    <w:name w:val="Footnote Text Char"/>
    <w:basedOn w:val="132"/>
    <w:uiPriority w:val="99"/>
    <w:semiHidden/>
    <w:rPr>
      <w:sz w:val="20"/>
    </w:rPr>
  </w:style>
  <w:style w:type="character" w:styleId="54">
    <w:name w:val="footnote reference"/>
    <w:basedOn w:val="132"/>
    <w:uiPriority w:val="99"/>
    <w:semiHidden/>
    <w:unhideWhenUsed/>
    <w:rPr>
      <w:vertAlign w:val="superscript"/>
    </w:rPr>
  </w:style>
  <w:style w:type="paragraph" w:default="1" w:styleId="129">
    <w:name w:val="Normal"/>
    <w:qFormat/>
    <w:rPr>
      <w:rFonts w:ascii="Arial" w:hAnsi="Arial"/>
      <w:lang w:eastAsia="ar-SA"/>
    </w:rPr>
    <w:pPr>
      <w:widowControl w:val="off"/>
    </w:pPr>
  </w:style>
  <w:style w:type="paragraph" w:styleId="130">
    <w:name w:val="Heading 1"/>
    <w:basedOn w:val="129"/>
    <w:next w:val="129"/>
    <w:qFormat/>
    <w:rPr>
      <w:b/>
      <w:sz w:val="18"/>
    </w:rPr>
    <w:pPr>
      <w:numPr>
        <w:numId w:val="2"/>
      </w:numPr>
      <w:jc w:val="center"/>
      <w:keepNext/>
      <w:spacing w:lineRule="atLeast" w:line="240"/>
      <w:widowControl/>
    </w:pPr>
  </w:style>
  <w:style w:type="paragraph" w:styleId="131">
    <w:name w:val="Heading 2"/>
    <w:basedOn w:val="129"/>
    <w:next w:val="129"/>
    <w:qFormat/>
    <w:rPr>
      <w:b/>
      <w:bCs/>
      <w:sz w:val="18"/>
    </w:rPr>
    <w:pPr>
      <w:numPr>
        <w:ilvl w:val="1"/>
        <w:numId w:val="2"/>
      </w:numPr>
      <w:jc w:val="both"/>
      <w:keepNext/>
      <w:widowControl/>
    </w:pPr>
  </w:style>
  <w:style w:type="character" w:default="1" w:styleId="132">
    <w:name w:val="Default Paragraph Font"/>
    <w:uiPriority w:val="1"/>
    <w:semiHidden/>
    <w:unhideWhenUsed/>
  </w:style>
  <w:style w:type="table" w:default="1" w:styleId="133">
    <w:name w:val="Normal Table"/>
    <w:uiPriority w:val="99"/>
    <w:semiHidden/>
    <w:unhideWhenUsed/>
    <w:tblPr>
      <w:tblInd w:w="0" w:type="dxa"/>
      <w:tblCellMar>
        <w:left w:w="108" w:type="dxa"/>
        <w:top w:w="0" w:type="dxa"/>
        <w:right w:w="108" w:type="dxa"/>
        <w:bottom w:w="0" w:type="dxa"/>
      </w:tblCellMar>
    </w:tblPr>
  </w:style>
  <w:style w:type="numbering" w:default="1" w:styleId="134">
    <w:name w:val="No List"/>
    <w:uiPriority w:val="99"/>
    <w:semiHidden/>
    <w:unhideWhenUsed/>
  </w:style>
  <w:style w:type="character" w:styleId="135">
    <w:name w:val="WW8Num8z0"/>
    <w:rPr>
      <w:rFonts w:ascii="Symbol" w:hAnsi="Symbol" w:cs="Times New Roman" w:eastAsia="Times New Roman"/>
    </w:rPr>
  </w:style>
  <w:style w:type="character" w:styleId="136">
    <w:name w:val="WW8Num8z1"/>
    <w:rPr>
      <w:rFonts w:ascii="Courier New" w:hAnsi="Courier New"/>
    </w:rPr>
  </w:style>
  <w:style w:type="character" w:styleId="137">
    <w:name w:val="WW8Num8z2"/>
    <w:rPr>
      <w:rFonts w:ascii="Wingdings" w:hAnsi="Wingdings"/>
    </w:rPr>
  </w:style>
  <w:style w:type="character" w:styleId="138">
    <w:name w:val="WW8Num8z3"/>
    <w:rPr>
      <w:rFonts w:ascii="Symbol" w:hAnsi="Symbol"/>
    </w:rPr>
  </w:style>
  <w:style w:type="character" w:styleId="139">
    <w:name w:val="WW8NumSt2z0"/>
    <w:rPr>
      <w:rFonts w:ascii="Symbol" w:hAnsi="Symbol"/>
    </w:rPr>
  </w:style>
  <w:style w:type="character" w:styleId="140">
    <w:name w:val="WW8NumSt4z0"/>
    <w:rPr>
      <w:rFonts w:ascii="Symbol" w:hAnsi="Symbol"/>
    </w:rPr>
  </w:style>
  <w:style w:type="character" w:styleId="141">
    <w:name w:val="Основной шрифт абзаца1"/>
  </w:style>
  <w:style w:type="character" w:styleId="142">
    <w:name w:val="Îñíîâíîé øðèôò"/>
  </w:style>
  <w:style w:type="character" w:styleId="143">
    <w:name w:val="Hyperlink"/>
    <w:rPr>
      <w:strike w:val="false"/>
      <w:dstrike w:val="false"/>
      <w:color w:val="0000CC"/>
      <w:u w:val="none"/>
    </w:rPr>
  </w:style>
  <w:style w:type="character" w:styleId="144">
    <w:name w:val="FollowedHyperlink"/>
    <w:rPr>
      <w:color w:val="800000"/>
      <w:u w:val="single"/>
    </w:rPr>
  </w:style>
  <w:style w:type="paragraph" w:styleId="145">
    <w:name w:val="Заголовок1"/>
    <w:basedOn w:val="129"/>
    <w:next w:val="146"/>
    <w:rPr>
      <w:rFonts w:cs="Tahoma" w:eastAsia="MS Mincho"/>
      <w:sz w:val="28"/>
      <w:szCs w:val="28"/>
    </w:rPr>
    <w:pPr>
      <w:keepNext/>
      <w:spacing w:after="120" w:before="240"/>
    </w:pPr>
  </w:style>
  <w:style w:type="paragraph" w:styleId="146">
    <w:name w:val="Body Text"/>
    <w:basedOn w:val="129"/>
    <w:pPr>
      <w:jc w:val="both"/>
    </w:pPr>
  </w:style>
  <w:style w:type="paragraph" w:styleId="147">
    <w:name w:val="List"/>
    <w:basedOn w:val="129"/>
    <w:pPr>
      <w:ind w:left="283" w:hanging="282"/>
    </w:pPr>
  </w:style>
  <w:style w:type="paragraph" w:styleId="148">
    <w:name w:val="Название1"/>
    <w:basedOn w:val="129"/>
    <w:rPr>
      <w:rFonts w:cs="Tahoma"/>
      <w:i/>
      <w:iCs/>
      <w:sz w:val="24"/>
      <w:szCs w:val="24"/>
    </w:rPr>
    <w:pPr>
      <w:spacing w:after="120" w:before="120"/>
    </w:pPr>
  </w:style>
  <w:style w:type="paragraph" w:styleId="149">
    <w:name w:val="Указатель1"/>
    <w:basedOn w:val="129"/>
    <w:rPr>
      <w:rFonts w:cs="Tahoma"/>
    </w:rPr>
  </w:style>
  <w:style w:type="paragraph" w:styleId="150">
    <w:name w:val="çàãîëîâîê 1"/>
    <w:basedOn w:val="129"/>
    <w:next w:val="129"/>
    <w:rPr>
      <w:b/>
    </w:rPr>
    <w:pPr>
      <w:keepNext/>
    </w:pPr>
  </w:style>
  <w:style w:type="paragraph" w:styleId="151">
    <w:name w:val="Список 21"/>
    <w:basedOn w:val="129"/>
    <w:pPr>
      <w:ind w:left="566" w:hanging="282"/>
    </w:pPr>
  </w:style>
  <w:style w:type="paragraph" w:styleId="152">
    <w:name w:val="Основной текст 21"/>
    <w:basedOn w:val="129"/>
    <w:pPr>
      <w:ind w:left="283"/>
      <w:spacing w:after="120"/>
    </w:pPr>
  </w:style>
  <w:style w:type="paragraph" w:styleId="153">
    <w:name w:val="Схема документа1"/>
    <w:basedOn w:val="129"/>
    <w:rPr>
      <w:rFonts w:ascii="Tahoma" w:hAnsi="Tahoma"/>
    </w:rPr>
    <w:pPr>
      <w:shd w:val="clear" w:color="auto" w:fill="000080"/>
    </w:pPr>
  </w:style>
  <w:style w:type="paragraph" w:styleId="154">
    <w:name w:val="Основной текст 21"/>
    <w:basedOn w:val="129"/>
    <w:rPr>
      <w:sz w:val="18"/>
    </w:rPr>
    <w:pPr>
      <w:jc w:val="both"/>
      <w:widowControl/>
    </w:pPr>
  </w:style>
  <w:style w:type="paragraph" w:styleId="155">
    <w:name w:val="Title"/>
    <w:basedOn w:val="129"/>
    <w:next w:val="156"/>
    <w:qFormat/>
    <w:rPr>
      <w:b/>
      <w:bCs/>
      <w:sz w:val="24"/>
    </w:rPr>
    <w:pPr>
      <w:jc w:val="center"/>
      <w:widowControl/>
    </w:pPr>
  </w:style>
  <w:style w:type="paragraph" w:styleId="156">
    <w:name w:val="Subtitle"/>
    <w:basedOn w:val="145"/>
    <w:next w:val="146"/>
    <w:qFormat/>
    <w:rPr>
      <w:i/>
      <w:iCs/>
    </w:rPr>
    <w:pPr>
      <w:jc w:val="center"/>
    </w:pPr>
  </w:style>
  <w:style w:type="paragraph" w:styleId="157">
    <w:name w:val="Схема документа1"/>
    <w:basedOn w:val="129"/>
    <w:rPr>
      <w:rFonts w:ascii="Tahoma" w:hAnsi="Tahoma" w:cs="Tahoma"/>
    </w:rPr>
    <w:pPr>
      <w:shd w:val="clear" w:color="auto" w:fill="000080"/>
    </w:pPr>
  </w:style>
  <w:style w:type="paragraph" w:styleId="158">
    <w:name w:val="Body Text Indent"/>
    <w:basedOn w:val="129"/>
    <w:pPr>
      <w:ind w:left="283"/>
      <w:spacing w:after="120"/>
    </w:pPr>
  </w:style>
  <w:style w:type="paragraph" w:styleId="159">
    <w:name w:val="Balloon Text"/>
    <w:basedOn w:val="129"/>
    <w:rPr>
      <w:rFonts w:ascii="Tahoma" w:hAnsi="Tahoma" w:cs="Tahoma"/>
      <w:sz w:val="16"/>
      <w:szCs w:val="16"/>
    </w:rPr>
  </w:style>
  <w:style w:type="paragraph" w:styleId="160">
    <w:name w:val="Содержимое таблицы"/>
    <w:basedOn w:val="129"/>
  </w:style>
  <w:style w:type="paragraph" w:styleId="161">
    <w:name w:val="Заголовок таблицы"/>
    <w:basedOn w:val="160"/>
    <w:rPr>
      <w:b/>
      <w:bCs/>
    </w:rPr>
    <w:pPr>
      <w:jc w:val="center"/>
    </w:pPr>
  </w:style>
  <w:style w:type="paragraph" w:styleId="162">
    <w:name w:val="Header"/>
    <w:basedOn w:val="129"/>
    <w:pPr>
      <w:tabs>
        <w:tab w:val="center" w:pos="4677"/>
        <w:tab w:val="right" w:pos="9355"/>
      </w:tabs>
    </w:pPr>
  </w:style>
  <w:style w:type="character" w:styleId="163">
    <w:name w:val="Верхний колонтитул Знак"/>
    <w:rPr>
      <w:rFonts w:ascii="Arial" w:hAnsi="Arial"/>
      <w:lang w:eastAsia="ar-SA"/>
    </w:rPr>
  </w:style>
  <w:style w:type="paragraph" w:styleId="164">
    <w:name w:val="Footer"/>
    <w:basedOn w:val="129"/>
    <w:pPr>
      <w:tabs>
        <w:tab w:val="center" w:pos="4677"/>
        <w:tab w:val="right" w:pos="9355"/>
      </w:tabs>
    </w:pPr>
  </w:style>
  <w:style w:type="character" w:styleId="165">
    <w:name w:val="Нижний колонтитул Знак"/>
    <w:rPr>
      <w:rFonts w:ascii="Arial" w:hAnsi="Arial"/>
      <w:lang w:eastAsia="ar-SA"/>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_rels/theme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3.0000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